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4C48F">
      <w:pPr>
        <w:pStyle w:val="5"/>
        <w:autoSpaceDE w:val="0"/>
        <w:spacing w:line="360" w:lineRule="auto"/>
        <w:jc w:val="center"/>
        <w:rPr>
          <w:rFonts w:hint="eastAsia" w:ascii="宋体" w:hAnsi="宋体" w:eastAsia="宋体" w:cs="宋体"/>
          <w:b/>
          <w:bCs/>
          <w:color w:val="auto"/>
          <w:sz w:val="28"/>
          <w:szCs w:val="28"/>
          <w:highlight w:val="none"/>
          <w:lang w:val="en-US" w:eastAsia="zh-CN"/>
        </w:rPr>
      </w:pPr>
      <w:bookmarkStart w:id="0" w:name="_GoBack"/>
      <w:bookmarkEnd w:id="0"/>
      <w:r>
        <w:rPr>
          <w:rFonts w:hint="eastAsia" w:ascii="宋体" w:hAnsi="宋体" w:eastAsia="宋体" w:cs="宋体"/>
          <w:b/>
          <w:bCs/>
          <w:color w:val="auto"/>
          <w:sz w:val="28"/>
          <w:szCs w:val="28"/>
          <w:highlight w:val="none"/>
          <w:lang w:val="en-US" w:eastAsia="zh-CN"/>
        </w:rPr>
        <w:t>评分办法（比选人提供）</w:t>
      </w:r>
    </w:p>
    <w:tbl>
      <w:tblPr>
        <w:tblStyle w:val="10"/>
        <w:tblW w:w="5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2"/>
        <w:gridCol w:w="7980"/>
      </w:tblGrid>
      <w:tr w14:paraId="21E0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47" w:type="pct"/>
            <w:shd w:val="clear" w:color="auto" w:fill="FFFFFF"/>
            <w:vAlign w:val="center"/>
          </w:tcPr>
          <w:p w14:paraId="3DB2DD43">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zh-CN" w:eastAsia="zh-CN"/>
              </w:rPr>
              <w:t>评分项目</w:t>
            </w:r>
          </w:p>
        </w:tc>
        <w:tc>
          <w:tcPr>
            <w:tcW w:w="4252" w:type="pct"/>
            <w:shd w:val="clear" w:color="auto" w:fill="FFFFFF"/>
            <w:vAlign w:val="center"/>
          </w:tcPr>
          <w:p w14:paraId="5F69CC4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zh-CN" w:eastAsia="zh-CN"/>
              </w:rPr>
            </w:pPr>
            <w:r>
              <w:rPr>
                <w:rFonts w:hint="eastAsia" w:ascii="仿宋" w:hAnsi="仿宋" w:eastAsia="仿宋" w:cs="仿宋"/>
                <w:sz w:val="28"/>
                <w:szCs w:val="28"/>
                <w:highlight w:val="none"/>
                <w:vertAlign w:val="baseline"/>
                <w:lang w:val="en-US" w:eastAsia="zh-CN"/>
              </w:rPr>
              <w:t>商务指标（</w:t>
            </w:r>
            <w:r>
              <w:rPr>
                <w:rFonts w:hint="eastAsia" w:ascii="仿宋" w:hAnsi="仿宋" w:eastAsia="仿宋" w:cs="仿宋"/>
                <w:sz w:val="28"/>
                <w:szCs w:val="28"/>
                <w:highlight w:val="none"/>
                <w:vertAlign w:val="baseline"/>
                <w:lang w:val="zh-CN" w:eastAsia="zh-CN"/>
              </w:rPr>
              <w:t>评标内容及标准）</w:t>
            </w:r>
          </w:p>
        </w:tc>
      </w:tr>
      <w:tr w14:paraId="34AD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7" w:type="pct"/>
            <w:vAlign w:val="center"/>
          </w:tcPr>
          <w:p w14:paraId="04A0628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zh-CN" w:eastAsia="zh-CN"/>
              </w:rPr>
              <w:t>投标报价（</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zh-CN" w:eastAsia="zh-CN"/>
              </w:rPr>
              <w:t>）</w:t>
            </w:r>
          </w:p>
        </w:tc>
        <w:tc>
          <w:tcPr>
            <w:tcW w:w="4252" w:type="pct"/>
            <w:vAlign w:val="center"/>
          </w:tcPr>
          <w:p w14:paraId="5F238CD4">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 w:eastAsia="zh-CN"/>
              </w:rPr>
              <w:t>价格分应当采用低价优先法计算</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vertAlign w:val="baseline"/>
                <w:lang w:val="en" w:eastAsia="zh-CN"/>
              </w:rPr>
              <w:t>即满足</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文件要求且</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价格最低的</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报价为</w:t>
            </w:r>
            <w:r>
              <w:rPr>
                <w:rFonts w:hint="eastAsia" w:ascii="仿宋" w:hAnsi="仿宋" w:eastAsia="仿宋" w:cs="仿宋"/>
                <w:color w:val="auto"/>
                <w:sz w:val="28"/>
                <w:szCs w:val="28"/>
                <w:highlight w:val="none"/>
                <w:vertAlign w:val="baseline"/>
                <w:lang w:val="en-US" w:eastAsia="zh-CN"/>
              </w:rPr>
              <w:t>竞选</w:t>
            </w:r>
            <w:r>
              <w:rPr>
                <w:rFonts w:hint="eastAsia" w:ascii="仿宋" w:hAnsi="仿宋" w:eastAsia="仿宋" w:cs="仿宋"/>
                <w:color w:val="auto"/>
                <w:sz w:val="28"/>
                <w:szCs w:val="28"/>
                <w:highlight w:val="none"/>
                <w:vertAlign w:val="baseline"/>
                <w:lang w:val="en" w:eastAsia="zh-CN"/>
              </w:rPr>
              <w:t>基准价，其价格分为满分</w:t>
            </w:r>
            <w:r>
              <w:rPr>
                <w:rFonts w:hint="eastAsia" w:ascii="仿宋" w:hAnsi="仿宋" w:eastAsia="仿宋" w:cs="仿宋"/>
                <w:color w:val="auto"/>
                <w:sz w:val="28"/>
                <w:szCs w:val="28"/>
                <w:highlight w:val="none"/>
                <w:vertAlign w:val="baseline"/>
                <w:lang w:val="en-US" w:eastAsia="zh-CN"/>
              </w:rPr>
              <w:t>30分</w:t>
            </w:r>
            <w:r>
              <w:rPr>
                <w:rFonts w:hint="eastAsia" w:ascii="仿宋" w:hAnsi="仿宋" w:eastAsia="仿宋" w:cs="仿宋"/>
                <w:color w:val="auto"/>
                <w:sz w:val="28"/>
                <w:szCs w:val="28"/>
                <w:highlight w:val="none"/>
                <w:vertAlign w:val="baseline"/>
                <w:lang w:val="en" w:eastAsia="zh-CN"/>
              </w:rPr>
              <w:t>。其他</w:t>
            </w:r>
            <w:r>
              <w:rPr>
                <w:rFonts w:hint="eastAsia" w:ascii="仿宋" w:hAnsi="仿宋" w:eastAsia="仿宋" w:cs="仿宋"/>
                <w:color w:val="auto"/>
                <w:sz w:val="28"/>
                <w:szCs w:val="28"/>
                <w:highlight w:val="none"/>
                <w:vertAlign w:val="baseline"/>
                <w:lang w:val="en-US" w:eastAsia="zh-CN"/>
              </w:rPr>
              <w:t>比选</w:t>
            </w:r>
            <w:r>
              <w:rPr>
                <w:rFonts w:hint="eastAsia" w:ascii="仿宋" w:hAnsi="仿宋" w:eastAsia="仿宋" w:cs="仿宋"/>
                <w:color w:val="auto"/>
                <w:sz w:val="28"/>
                <w:szCs w:val="28"/>
                <w:highlight w:val="none"/>
                <w:vertAlign w:val="baseline"/>
                <w:lang w:val="en" w:eastAsia="zh-CN"/>
              </w:rPr>
              <w:t>供应商的价格分统一按照下列公式计算：</w:t>
            </w:r>
            <w:r>
              <w:rPr>
                <w:rFonts w:hint="eastAsia" w:ascii="仿宋" w:hAnsi="仿宋" w:eastAsia="仿宋" w:cs="仿宋"/>
                <w:color w:val="auto"/>
                <w:sz w:val="28"/>
                <w:szCs w:val="28"/>
                <w:highlight w:val="none"/>
                <w:vertAlign w:val="baseline"/>
                <w:lang w:val="en-US" w:eastAsia="zh-CN"/>
              </w:rPr>
              <w:t>竞选报价得分＝（竞选基准价/竞选报价）×30％×100。</w:t>
            </w:r>
          </w:p>
          <w:p w14:paraId="617C2AFD">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备注：1、结果保留两位小数。</w:t>
            </w:r>
          </w:p>
          <w:p w14:paraId="4DD1F215">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2、最低报价不作为中标的保证。</w:t>
            </w:r>
          </w:p>
        </w:tc>
      </w:tr>
    </w:tbl>
    <w:tbl>
      <w:tblPr>
        <w:tblStyle w:val="11"/>
        <w:tblW w:w="5478" w:type="pct"/>
        <w:tblInd w:w="-4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02"/>
        <w:gridCol w:w="747"/>
        <w:gridCol w:w="6873"/>
      </w:tblGrid>
      <w:tr w14:paraId="24EE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top"/>
          </w:tcPr>
          <w:p w14:paraId="2F812495">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483" w:type="pct"/>
            <w:vAlign w:val="center"/>
          </w:tcPr>
          <w:p w14:paraId="7E64637B">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评审项</w:t>
            </w:r>
          </w:p>
        </w:tc>
        <w:tc>
          <w:tcPr>
            <w:tcW w:w="400" w:type="pct"/>
            <w:vAlign w:val="top"/>
          </w:tcPr>
          <w:p w14:paraId="2EDF88FD">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分值</w:t>
            </w:r>
          </w:p>
        </w:tc>
        <w:tc>
          <w:tcPr>
            <w:tcW w:w="3679" w:type="pct"/>
            <w:vAlign w:val="center"/>
          </w:tcPr>
          <w:p w14:paraId="6C945BA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技术指标（评分标准）</w:t>
            </w:r>
          </w:p>
        </w:tc>
      </w:tr>
      <w:tr w14:paraId="092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6" w:type="pct"/>
            <w:vAlign w:val="center"/>
          </w:tcPr>
          <w:p w14:paraId="27F5C650">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483" w:type="pct"/>
            <w:vAlign w:val="center"/>
          </w:tcPr>
          <w:p w14:paraId="2AF0D28A">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类似业绩</w:t>
            </w:r>
          </w:p>
        </w:tc>
        <w:tc>
          <w:tcPr>
            <w:tcW w:w="400" w:type="pct"/>
            <w:vAlign w:val="center"/>
          </w:tcPr>
          <w:p w14:paraId="0442A547">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7297A0A2">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202</w:t>
            </w:r>
            <w:r>
              <w:rPr>
                <w:rFonts w:hint="eastAsia" w:ascii="仿宋" w:hAnsi="仿宋" w:eastAsia="仿宋" w:cs="仿宋"/>
                <w:color w:val="auto"/>
                <w:sz w:val="28"/>
                <w:szCs w:val="28"/>
                <w:highlight w:val="none"/>
                <w:vertAlign w:val="baseline"/>
                <w:lang w:val="en-US" w:eastAsia="zh-CN"/>
              </w:rPr>
              <w:t>3</w:t>
            </w:r>
            <w:r>
              <w:rPr>
                <w:rFonts w:hint="default" w:ascii="仿宋" w:hAnsi="仿宋" w:eastAsia="仿宋" w:cs="仿宋"/>
                <w:color w:val="auto"/>
                <w:sz w:val="28"/>
                <w:szCs w:val="28"/>
                <w:highlight w:val="none"/>
                <w:vertAlign w:val="baseline"/>
                <w:lang w:val="en-US" w:eastAsia="zh-CN"/>
              </w:rPr>
              <w:t>年1月1日至今(以合同签定时间为准)</w:t>
            </w:r>
            <w:r>
              <w:rPr>
                <w:rFonts w:hint="eastAsia" w:ascii="仿宋" w:hAnsi="仿宋" w:eastAsia="仿宋" w:cs="仿宋"/>
                <w:color w:val="auto"/>
                <w:sz w:val="28"/>
                <w:szCs w:val="28"/>
                <w:highlight w:val="none"/>
                <w:vertAlign w:val="baseline"/>
                <w:lang w:val="en-US" w:eastAsia="zh-CN"/>
              </w:rPr>
              <w:t>竞选人</w:t>
            </w:r>
            <w:r>
              <w:rPr>
                <w:rFonts w:hint="default" w:ascii="仿宋" w:hAnsi="仿宋" w:eastAsia="仿宋" w:cs="仿宋"/>
                <w:color w:val="auto"/>
                <w:sz w:val="28"/>
                <w:szCs w:val="28"/>
                <w:highlight w:val="none"/>
                <w:vertAlign w:val="baseline"/>
                <w:lang w:val="en-US" w:eastAsia="zh-CN"/>
              </w:rPr>
              <w:t>每提供一个类似业绩得5分，满分</w:t>
            </w:r>
            <w:r>
              <w:rPr>
                <w:rFonts w:hint="eastAsia" w:ascii="仿宋" w:hAnsi="仿宋" w:eastAsia="仿宋" w:cs="仿宋"/>
                <w:color w:val="auto"/>
                <w:sz w:val="28"/>
                <w:szCs w:val="28"/>
                <w:highlight w:val="none"/>
                <w:vertAlign w:val="baseline"/>
                <w:lang w:val="en-US" w:eastAsia="zh-CN"/>
              </w:rPr>
              <w:t>10</w:t>
            </w:r>
            <w:r>
              <w:rPr>
                <w:rFonts w:hint="default" w:ascii="仿宋" w:hAnsi="仿宋" w:eastAsia="仿宋" w:cs="仿宋"/>
                <w:color w:val="auto"/>
                <w:sz w:val="28"/>
                <w:szCs w:val="28"/>
                <w:highlight w:val="none"/>
                <w:vertAlign w:val="baseline"/>
                <w:lang w:val="en-US" w:eastAsia="zh-CN"/>
              </w:rPr>
              <w:t>分。</w:t>
            </w:r>
          </w:p>
          <w:p w14:paraId="7AD3B9CE">
            <w:pPr>
              <w:keepNext w:val="0"/>
              <w:keepLines w:val="0"/>
              <w:pageBreakBefore w:val="0"/>
              <w:kinsoku/>
              <w:wordWrap/>
              <w:overflowPunct/>
              <w:topLinePunct w:val="0"/>
              <w:autoSpaceDE/>
              <w:autoSpaceDN/>
              <w:bidi w:val="0"/>
              <w:adjustRightInd/>
              <w:snapToGrid/>
              <w:spacing w:before="95" w:beforeLines="30" w:after="95" w:afterLines="30" w:line="360" w:lineRule="exact"/>
              <w:jc w:val="left"/>
              <w:textAlignment w:val="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vertAlign w:val="baseline"/>
                <w:lang w:val="en-US" w:eastAsia="zh-CN"/>
              </w:rPr>
              <w:t>注：提供合同或相关证明资料影印件并加盖公章，不提供或所提供资料无法显示主要项目信息的不得分。</w:t>
            </w:r>
          </w:p>
        </w:tc>
      </w:tr>
      <w:tr w14:paraId="6F5A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36" w:type="pct"/>
            <w:vAlign w:val="center"/>
          </w:tcPr>
          <w:p w14:paraId="7B3873E6">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7E6C448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项目团队</w:t>
            </w:r>
          </w:p>
        </w:tc>
        <w:tc>
          <w:tcPr>
            <w:tcW w:w="400" w:type="pct"/>
            <w:vAlign w:val="center"/>
          </w:tcPr>
          <w:p w14:paraId="3C038681">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10分</w:t>
            </w:r>
          </w:p>
        </w:tc>
        <w:tc>
          <w:tcPr>
            <w:tcW w:w="3679" w:type="pct"/>
            <w:vAlign w:val="top"/>
          </w:tcPr>
          <w:p w14:paraId="182A42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竞选人拟派项目团队成员，在满足比选需求的基础上（1人）的基础上，每额外提供一名拍卖师资格证明的，得5分，满分10分。</w:t>
            </w:r>
          </w:p>
          <w:p w14:paraId="2E532FC7">
            <w:pPr>
              <w:pStyle w:val="13"/>
              <w:spacing w:before="156" w:beforeLines="50" w:after="156" w:afterLines="50" w:line="340" w:lineRule="exact"/>
              <w:ind w:left="0" w:leftChars="0" w:right="0" w:righ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注：响应文件中须提供以上人员证书扫描件或复印件。</w:t>
            </w:r>
          </w:p>
          <w:p w14:paraId="76ECD5F9">
            <w:pPr>
              <w:pStyle w:val="13"/>
              <w:spacing w:before="156" w:beforeLines="50" w:after="156" w:afterLines="50" w:line="340" w:lineRule="exact"/>
              <w:ind w:left="0" w:leftChars="0" w:right="0" w:rightChars="0" w:firstLine="0" w:firstLineChars="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注：（1）提供相关证明材料影印件并加盖公章，不提供不得分。</w:t>
            </w:r>
          </w:p>
          <w:p w14:paraId="42091AD1">
            <w:pPr>
              <w:keepNext w:val="0"/>
              <w:keepLines w:val="0"/>
              <w:pageBreakBefore w:val="0"/>
              <w:numPr>
                <w:ilvl w:val="0"/>
                <w:numId w:val="0"/>
              </w:numPr>
              <w:kinsoku/>
              <w:wordWrap/>
              <w:overflowPunct/>
              <w:topLinePunct w:val="0"/>
              <w:autoSpaceDE/>
              <w:autoSpaceDN/>
              <w:bidi w:val="0"/>
              <w:adjustRightInd/>
              <w:snapToGrid/>
              <w:spacing w:before="95" w:beforeLines="30" w:after="95" w:afterLines="30" w:line="360" w:lineRule="exact"/>
              <w:jc w:val="left"/>
              <w:textAlignment w:val="auto"/>
              <w:rPr>
                <w:rFonts w:hint="default"/>
                <w:highlight w:val="none"/>
                <w:lang w:val="en-US" w:eastAsia="zh-CN"/>
              </w:rPr>
            </w:pPr>
            <w:r>
              <w:rPr>
                <w:rFonts w:hint="eastAsia" w:ascii="仿宋" w:hAnsi="仿宋" w:eastAsia="仿宋" w:cs="仿宋"/>
                <w:b/>
                <w:bCs/>
                <w:color w:val="auto"/>
                <w:sz w:val="28"/>
                <w:szCs w:val="28"/>
                <w:highlight w:val="none"/>
                <w:lang w:val="en-US" w:eastAsia="zh-CN"/>
              </w:rPr>
              <w:t xml:space="preserve">    （2）同一人员提供的证书不重复计分。</w:t>
            </w:r>
          </w:p>
        </w:tc>
      </w:tr>
      <w:tr w14:paraId="2546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36" w:type="pct"/>
            <w:vAlign w:val="center"/>
          </w:tcPr>
          <w:p w14:paraId="4562262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483" w:type="pct"/>
            <w:vAlign w:val="center"/>
          </w:tcPr>
          <w:p w14:paraId="404AC984">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 xml:space="preserve">服务方案 </w:t>
            </w:r>
          </w:p>
        </w:tc>
        <w:tc>
          <w:tcPr>
            <w:tcW w:w="400" w:type="pct"/>
            <w:vAlign w:val="center"/>
          </w:tcPr>
          <w:p w14:paraId="57887F9E">
            <w:pPr>
              <w:keepNext w:val="0"/>
              <w:keepLines w:val="0"/>
              <w:pageBreakBefore w:val="0"/>
              <w:kinsoku/>
              <w:wordWrap/>
              <w:overflowPunct/>
              <w:topLinePunct w:val="0"/>
              <w:autoSpaceDE/>
              <w:autoSpaceDN/>
              <w:bidi w:val="0"/>
              <w:adjustRightInd/>
              <w:snapToGrid/>
              <w:spacing w:before="95" w:beforeLines="30" w:after="95" w:afterLines="30" w:line="36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50分</w:t>
            </w:r>
          </w:p>
        </w:tc>
        <w:tc>
          <w:tcPr>
            <w:tcW w:w="3679" w:type="pct"/>
            <w:vAlign w:val="top"/>
          </w:tcPr>
          <w:p w14:paraId="1DE049D3">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lang w:val="en-US" w:eastAsia="zh-CN"/>
              </w:rPr>
              <w:t>竞选人针对本项目制定的总体服务方案（满分10分）。</w:t>
            </w:r>
          </w:p>
          <w:p w14:paraId="26CD71F6">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方案包含但不限于：管理构想、服务理念、管理目标等。</w:t>
            </w:r>
          </w:p>
          <w:p w14:paraId="32936345">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64185727">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51B8941D">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5249CBE1">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573273A8">
            <w:pPr>
              <w:pStyle w:val="13"/>
              <w:numPr>
                <w:ilvl w:val="0"/>
                <w:numId w:val="0"/>
              </w:numPr>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lang w:val="en-US" w:eastAsia="zh-CN" w:bidi="ar-SA"/>
              </w:rPr>
              <w:t>2、</w:t>
            </w:r>
            <w:r>
              <w:rPr>
                <w:rFonts w:hint="eastAsia" w:ascii="仿宋" w:hAnsi="仿宋" w:eastAsia="仿宋" w:cs="仿宋"/>
                <w:b/>
                <w:bCs/>
                <w:color w:val="auto"/>
                <w:sz w:val="28"/>
                <w:szCs w:val="28"/>
                <w:highlight w:val="none"/>
                <w:lang w:val="en-US" w:eastAsia="zh-CN"/>
              </w:rPr>
              <w:t>竞选人针对本项目的人员分配方案（满分10分）。</w:t>
            </w:r>
          </w:p>
          <w:p w14:paraId="575B4323">
            <w:pPr>
              <w:pStyle w:val="13"/>
              <w:numPr>
                <w:ilvl w:val="0"/>
                <w:numId w:val="0"/>
              </w:numPr>
              <w:spacing w:before="156" w:beforeLines="50" w:after="156" w:afterLines="50" w:line="340" w:lineRule="exact"/>
              <w:ind w:leftChars="0" w:right="0" w:righ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方案包含但不限于：组织架构、人员配置、岗位职责等。</w:t>
            </w:r>
          </w:p>
          <w:p w14:paraId="6CCBBEBE">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①对本项目特点和难点理解准确，方案优于本项目采购需求，方案完整详细，可行性、实用性、针对性强，得10分；</w:t>
            </w:r>
          </w:p>
          <w:p w14:paraId="5259BF40">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②对本项目特点和难点理解基本准确，方案适合本项目采购需求，方案详细、具有可行性、实用性和针对性，得7分；</w:t>
            </w:r>
          </w:p>
          <w:p w14:paraId="0066B49E">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③对本项目特点和难点理解有待提升，方案基本适合本项目采购需求，可行性、实用性和针对性有待改善，得4分；</w:t>
            </w:r>
          </w:p>
          <w:p w14:paraId="21E04856">
            <w:pPr>
              <w:pStyle w:val="13"/>
              <w:spacing w:before="156" w:beforeLines="50" w:after="156" w:afterLines="50" w:line="340" w:lineRule="exact"/>
              <w:ind w:left="0" w:leftChars="0" w:right="0" w:rightChars="0" w:firstLine="0" w:firstLineChars="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④未提供或方案不可行，得0分。</w:t>
            </w:r>
          </w:p>
          <w:p w14:paraId="463405BC">
            <w:pPr>
              <w:keepNext w:val="0"/>
              <w:keepLines w:val="0"/>
              <w:pageBreakBefore w:val="0"/>
              <w:kinsoku/>
              <w:wordWrap/>
              <w:overflowPunct/>
              <w:topLinePunct w:val="0"/>
              <w:autoSpaceDE/>
              <w:autoSpaceDN/>
              <w:bidi w:val="0"/>
              <w:spacing w:line="360" w:lineRule="exact"/>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w:t>
            </w:r>
            <w:r>
              <w:rPr>
                <w:rFonts w:hint="eastAsia" w:ascii="仿宋" w:hAnsi="仿宋" w:eastAsia="仿宋" w:cs="仿宋"/>
                <w:b/>
                <w:bCs/>
                <w:color w:val="000000"/>
                <w:sz w:val="28"/>
                <w:szCs w:val="28"/>
                <w:highlight w:val="none"/>
                <w:lang w:val="en-US" w:eastAsia="zh-CN"/>
              </w:rPr>
              <w:t>项目质量管控方案（满分10分）。</w:t>
            </w:r>
          </w:p>
          <w:p w14:paraId="7371E4A9">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对项目特点和难点理解准确，项目质量管理控制措施优于本项目采购需求，完整详细，可行性、实用性、针对性强，得</w:t>
            </w:r>
            <w:r>
              <w:rPr>
                <w:rFonts w:hint="eastAsia" w:ascii="仿宋" w:hAnsi="仿宋" w:eastAsia="仿宋" w:cs="仿宋"/>
                <w:b w:val="0"/>
                <w:bCs w:val="0"/>
                <w:color w:val="000000"/>
                <w:sz w:val="28"/>
                <w:szCs w:val="28"/>
                <w:highlight w:val="none"/>
                <w:lang w:val="en-US" w:eastAsia="zh-CN"/>
              </w:rPr>
              <w:t>10</w:t>
            </w:r>
            <w:r>
              <w:rPr>
                <w:rFonts w:hint="eastAsia" w:ascii="仿宋" w:hAnsi="仿宋" w:eastAsia="仿宋" w:cs="仿宋"/>
                <w:b w:val="0"/>
                <w:bCs w:val="0"/>
                <w:color w:val="000000"/>
                <w:sz w:val="28"/>
                <w:szCs w:val="28"/>
                <w:highlight w:val="none"/>
                <w:lang w:eastAsia="zh-CN"/>
              </w:rPr>
              <w:t xml:space="preserve">分； </w:t>
            </w:r>
          </w:p>
          <w:p w14:paraId="33B4DAA4">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对项目特点和难点理解基本准确，项目质量管理控制措施适合项目采购需求，方案完整详细，具有可行性、实用性和针对性，得</w:t>
            </w:r>
            <w:r>
              <w:rPr>
                <w:rFonts w:hint="eastAsia" w:ascii="仿宋" w:hAnsi="仿宋" w:eastAsia="仿宋" w:cs="仿宋"/>
                <w:b w:val="0"/>
                <w:bCs w:val="0"/>
                <w:color w:val="000000"/>
                <w:sz w:val="28"/>
                <w:szCs w:val="28"/>
                <w:highlight w:val="none"/>
                <w:lang w:val="en-US" w:eastAsia="zh-CN"/>
              </w:rPr>
              <w:t>7</w:t>
            </w:r>
            <w:r>
              <w:rPr>
                <w:rFonts w:hint="eastAsia" w:ascii="仿宋" w:hAnsi="仿宋" w:eastAsia="仿宋" w:cs="仿宋"/>
                <w:b w:val="0"/>
                <w:bCs w:val="0"/>
                <w:color w:val="000000"/>
                <w:sz w:val="28"/>
                <w:szCs w:val="28"/>
                <w:highlight w:val="none"/>
                <w:lang w:eastAsia="zh-CN"/>
              </w:rPr>
              <w:t xml:space="preserve">分； </w:t>
            </w:r>
          </w:p>
          <w:p w14:paraId="0316C6F0">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对项目特点和难点理解有待提升，项目质量管理控制措施基本适合项目采购需求，方案可行性、实用性、针对性有待改善，得</w:t>
            </w:r>
            <w:r>
              <w:rPr>
                <w:rFonts w:hint="eastAsia" w:ascii="仿宋" w:hAnsi="仿宋" w:eastAsia="仿宋" w:cs="仿宋"/>
                <w:b w:val="0"/>
                <w:bCs w:val="0"/>
                <w:color w:val="000000"/>
                <w:sz w:val="28"/>
                <w:szCs w:val="28"/>
                <w:highlight w:val="none"/>
                <w:lang w:val="en-US" w:eastAsia="zh-CN"/>
              </w:rPr>
              <w:t>4</w:t>
            </w:r>
            <w:r>
              <w:rPr>
                <w:rFonts w:hint="eastAsia" w:ascii="仿宋" w:hAnsi="仿宋" w:eastAsia="仿宋" w:cs="仿宋"/>
                <w:b w:val="0"/>
                <w:bCs w:val="0"/>
                <w:color w:val="000000"/>
                <w:sz w:val="28"/>
                <w:szCs w:val="28"/>
                <w:highlight w:val="none"/>
                <w:lang w:eastAsia="zh-CN"/>
              </w:rPr>
              <w:t xml:space="preserve">分； </w:t>
            </w:r>
          </w:p>
          <w:p w14:paraId="6745111C">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bCs w:val="0"/>
                <w:color w:val="000000"/>
                <w:sz w:val="28"/>
                <w:szCs w:val="28"/>
                <w:highlight w:val="none"/>
                <w:lang w:eastAsia="zh-CN"/>
              </w:rPr>
            </w:pPr>
            <w:r>
              <w:rPr>
                <w:rFonts w:hint="eastAsia" w:ascii="仿宋" w:hAnsi="仿宋" w:eastAsia="仿宋" w:cs="仿宋"/>
                <w:b w:val="0"/>
                <w:bCs w:val="0"/>
                <w:color w:val="000000"/>
                <w:sz w:val="28"/>
                <w:szCs w:val="28"/>
                <w:highlight w:val="none"/>
                <w:lang w:eastAsia="zh-CN"/>
              </w:rPr>
              <w:t xml:space="preserve">方案不可行或者未提供得0分。 </w:t>
            </w:r>
          </w:p>
          <w:p w14:paraId="57A5C435">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kern w:val="2"/>
                <w:sz w:val="28"/>
                <w:szCs w:val="28"/>
                <w:vertAlign w:val="baseline"/>
                <w:lang w:val="en-US" w:eastAsia="zh-CN" w:bidi="ar-SA"/>
              </w:rPr>
              <w:t>4、</w:t>
            </w:r>
            <w:r>
              <w:rPr>
                <w:rFonts w:hint="eastAsia" w:ascii="仿宋" w:hAnsi="仿宋" w:eastAsia="仿宋" w:cs="仿宋"/>
                <w:b/>
                <w:bCs/>
                <w:color w:val="auto"/>
                <w:sz w:val="28"/>
                <w:szCs w:val="28"/>
                <w:highlight w:val="none"/>
                <w:vertAlign w:val="baseline"/>
                <w:lang w:val="en-US" w:eastAsia="zh-CN"/>
              </w:rPr>
              <w:t>针对服务过程中人员办公场地的安排、达到服务及时性要求、便利性的保障（满分10分）。</w:t>
            </w:r>
          </w:p>
          <w:p w14:paraId="4E5F6DFF">
            <w:pPr>
              <w:keepNext w:val="0"/>
              <w:keepLines w:val="0"/>
              <w:pageBreakBefore w:val="0"/>
              <w:widowControl/>
              <w:numPr>
                <w:ilvl w:val="0"/>
                <w:numId w:val="0"/>
              </w:numPr>
              <w:suppressLineNumbers w:val="0"/>
              <w:kinsoku/>
              <w:wordWrap/>
              <w:overflowPunct/>
              <w:topLinePunct w:val="0"/>
              <w:autoSpaceDE/>
              <w:autoSpaceDN/>
              <w:bidi w:val="0"/>
              <w:spacing w:line="360" w:lineRule="exact"/>
              <w:ind w:left="0" w:leftChars="0" w:firstLine="0" w:firstLineChars="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 xml:space="preserve">对项目特点和难点具有合适办公场地，优于项目采购需求，保障服务及时性，处理紧急情况的便利性的得10分； </w:t>
            </w:r>
          </w:p>
          <w:p w14:paraId="7D247AF8">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对项目特点和难点具有一定办公场地，适合项目采购需求，保障服务能准时得7分；</w:t>
            </w:r>
          </w:p>
          <w:p w14:paraId="06303CFF">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对项目特点和难点具有办公场地，基本项目采购需求得4分；</w:t>
            </w:r>
          </w:p>
          <w:p w14:paraId="4839E7BF">
            <w:pPr>
              <w:pStyle w:val="13"/>
              <w:spacing w:before="156" w:beforeLines="50" w:after="156" w:afterLines="50" w:line="340" w:lineRule="exact"/>
              <w:ind w:left="0" w:leftChars="0" w:right="0" w:righ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vertAlign w:val="baseline"/>
                <w:lang w:val="en-US" w:eastAsia="zh-CN"/>
              </w:rPr>
              <w:t>办公场所不可行或不提供得0分</w:t>
            </w:r>
          </w:p>
          <w:p w14:paraId="267CE8BB">
            <w:pPr>
              <w:pStyle w:val="13"/>
              <w:spacing w:before="156" w:beforeLines="50" w:after="156" w:afterLines="50" w:line="340" w:lineRule="exact"/>
              <w:ind w:left="0" w:leftChars="0" w:right="0" w:rightChars="0" w:firstLine="0" w:firstLine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000000"/>
                <w:sz w:val="28"/>
                <w:szCs w:val="28"/>
                <w:highlight w:val="none"/>
                <w:lang w:val="en-US" w:eastAsia="zh-CN"/>
              </w:rPr>
              <w:t>评估服务</w:t>
            </w:r>
            <w:r>
              <w:rPr>
                <w:rFonts w:hint="eastAsia" w:ascii="仿宋" w:hAnsi="仿宋" w:eastAsia="仿宋" w:cs="仿宋"/>
                <w:b/>
                <w:bCs/>
                <w:color w:val="000000"/>
                <w:sz w:val="28"/>
                <w:szCs w:val="28"/>
                <w:highlight w:val="none"/>
              </w:rPr>
              <w:t>合理化建议</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000000"/>
                <w:sz w:val="28"/>
                <w:szCs w:val="28"/>
                <w:highlight w:val="none"/>
                <w:lang w:val="en-US" w:eastAsia="zh-CN"/>
              </w:rPr>
              <w:t>满分10分</w:t>
            </w:r>
            <w:r>
              <w:rPr>
                <w:rFonts w:hint="eastAsia" w:ascii="仿宋" w:hAnsi="仿宋" w:eastAsia="仿宋" w:cs="仿宋"/>
                <w:b/>
                <w:bCs/>
                <w:color w:val="000000"/>
                <w:sz w:val="28"/>
                <w:szCs w:val="28"/>
                <w:highlight w:val="none"/>
                <w:lang w:eastAsia="zh-CN"/>
              </w:rPr>
              <w:t>）</w:t>
            </w:r>
            <w:r>
              <w:rPr>
                <w:rFonts w:hint="eastAsia" w:ascii="仿宋" w:hAnsi="仿宋" w:eastAsia="仿宋" w:cs="仿宋"/>
                <w:b/>
                <w:bCs/>
                <w:color w:val="auto"/>
                <w:sz w:val="28"/>
                <w:szCs w:val="28"/>
                <w:highlight w:val="none"/>
                <w:lang w:val="en-US" w:eastAsia="zh-CN"/>
              </w:rPr>
              <w:t>。</w:t>
            </w:r>
          </w:p>
          <w:p w14:paraId="435F2589">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根据</w:t>
            </w:r>
            <w:r>
              <w:rPr>
                <w:rFonts w:hint="eastAsia" w:ascii="仿宋" w:hAnsi="仿宋" w:eastAsia="仿宋" w:cs="仿宋"/>
                <w:sz w:val="28"/>
                <w:szCs w:val="28"/>
                <w:highlight w:val="none"/>
                <w:lang w:val="en-US" w:eastAsia="zh-CN"/>
              </w:rPr>
              <w:t>竞选人</w:t>
            </w:r>
            <w:r>
              <w:rPr>
                <w:rFonts w:hint="eastAsia" w:ascii="仿宋" w:hAnsi="仿宋" w:eastAsia="仿宋" w:cs="仿宋"/>
                <w:sz w:val="28"/>
                <w:szCs w:val="28"/>
                <w:highlight w:val="none"/>
                <w:lang w:eastAsia="zh-CN"/>
              </w:rPr>
              <w:t>提供的合理化建议包括包括但不限于对本项目的开展实施提出合理化建议、对本项目的管理检查、工作标准等提出合理化建议、对本项目工作流程提出合理化建议等，由评审小组进行综合评分：</w:t>
            </w:r>
          </w:p>
          <w:p w14:paraId="14FF1F36">
            <w:pPr>
              <w:pStyle w:val="4"/>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1.合理化建议详细完整，针对性强，能够提供符合现状要求的合理化建议得</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分；</w:t>
            </w:r>
          </w:p>
          <w:p w14:paraId="3D33E164">
            <w:pPr>
              <w:pStyle w:val="4"/>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合理化建议较详细完整，有针对性，符合现状要求得</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分；</w:t>
            </w:r>
          </w:p>
          <w:p w14:paraId="5E3211BF">
            <w:pPr>
              <w:pStyle w:val="4"/>
              <w:keepNext w:val="0"/>
              <w:keepLines w:val="0"/>
              <w:pageBreakBefore w:val="0"/>
              <w:numPr>
                <w:ilvl w:val="0"/>
                <w:numId w:val="0"/>
              </w:numPr>
              <w:kinsoku/>
              <w:wordWrap/>
              <w:overflowPunct/>
              <w:topLinePunct w:val="0"/>
              <w:autoSpaceDE/>
              <w:autoSpaceDN/>
              <w:bidi w:val="0"/>
              <w:spacing w:line="36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3.合理化建议满足基本要求，缺少项目针对性得</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分；</w:t>
            </w:r>
          </w:p>
          <w:p w14:paraId="33918F8C">
            <w:pPr>
              <w:pStyle w:val="13"/>
              <w:spacing w:before="156" w:beforeLines="50" w:after="156" w:afterLines="50" w:line="340" w:lineRule="exact"/>
              <w:ind w:left="0" w:leftChars="0" w:right="0" w:rightChars="0" w:firstLine="0" w:firstLineChars="0"/>
              <w:rPr>
                <w:rFonts w:hint="default" w:ascii="仿宋" w:hAnsi="仿宋" w:eastAsia="仿宋" w:cs="宋体"/>
                <w:b/>
                <w:bCs/>
                <w:kern w:val="0"/>
                <w:sz w:val="30"/>
                <w:szCs w:val="30"/>
                <w:lang w:val="en-US" w:eastAsia="zh-CN"/>
              </w:rPr>
            </w:pPr>
            <w:r>
              <w:rPr>
                <w:rFonts w:hint="eastAsia" w:ascii="仿宋" w:hAnsi="仿宋" w:eastAsia="仿宋" w:cs="仿宋"/>
                <w:sz w:val="28"/>
                <w:szCs w:val="28"/>
                <w:highlight w:val="none"/>
                <w:lang w:eastAsia="zh-CN"/>
              </w:rPr>
              <w:t>4.缺少合理化建议或未提供得 0 分。</w:t>
            </w:r>
          </w:p>
        </w:tc>
      </w:tr>
    </w:tbl>
    <w:p w14:paraId="5D19C081">
      <w:pPr>
        <w:pStyle w:val="5"/>
        <w:autoSpaceDE w:val="0"/>
        <w:spacing w:line="360" w:lineRule="auto"/>
        <w:jc w:val="center"/>
        <w:rPr>
          <w:rFonts w:hint="default" w:ascii="宋体" w:hAnsi="宋体" w:eastAsia="宋体" w:cs="宋体"/>
          <w:b/>
          <w:bCs/>
          <w:color w:val="auto"/>
          <w:sz w:val="28"/>
          <w:szCs w:val="28"/>
          <w:highlight w:val="yellow"/>
          <w:lang w:val="en-US" w:eastAsia="zh-CN"/>
        </w:rPr>
      </w:pPr>
    </w:p>
    <w:p w14:paraId="291AE119">
      <w:pPr>
        <w:rPr>
          <w:rFonts w:hint="eastAsia" w:ascii="仿宋_GB2312" w:hAnsi="仿宋_GB2312" w:eastAsia="仿宋_GB2312" w:cs="仿宋_GB2312"/>
          <w:sz w:val="32"/>
          <w:szCs w:val="32"/>
        </w:rPr>
      </w:pPr>
    </w:p>
    <w:p w14:paraId="17384AF3">
      <w:pPr>
        <w:rPr>
          <w:rFonts w:hint="eastAsia" w:ascii="仿宋_GB2312" w:hAnsi="仿宋_GB2312" w:eastAsia="仿宋_GB2312" w:cs="仿宋_GB2312"/>
          <w:sz w:val="32"/>
          <w:szCs w:val="32"/>
        </w:rPr>
      </w:pPr>
    </w:p>
    <w:p w14:paraId="2552F311">
      <w:pPr>
        <w:pStyle w:val="2"/>
        <w:rPr>
          <w:rFonts w:hint="eastAsia" w:ascii="仿宋_GB2312" w:hAnsi="仿宋_GB2312" w:eastAsia="仿宋_GB2312" w:cs="仿宋_GB2312"/>
          <w:sz w:val="32"/>
          <w:szCs w:val="32"/>
        </w:rPr>
      </w:pPr>
    </w:p>
    <w:p w14:paraId="1BB00BCA">
      <w:pPr>
        <w:rPr>
          <w:rFonts w:hint="eastAsia" w:ascii="仿宋_GB2312" w:hAnsi="仿宋_GB2312" w:eastAsia="仿宋_GB2312" w:cs="仿宋_GB2312"/>
          <w:sz w:val="32"/>
          <w:szCs w:val="32"/>
        </w:rPr>
      </w:pPr>
    </w:p>
    <w:p w14:paraId="141AC518">
      <w:pPr>
        <w:pStyle w:val="2"/>
        <w:rPr>
          <w:rFonts w:hint="eastAsia" w:ascii="仿宋_GB2312" w:hAnsi="仿宋_GB2312" w:eastAsia="仿宋_GB2312" w:cs="仿宋_GB2312"/>
          <w:sz w:val="32"/>
          <w:szCs w:val="32"/>
        </w:rPr>
      </w:pPr>
    </w:p>
    <w:p w14:paraId="3C3B6E41">
      <w:pPr>
        <w:rPr>
          <w:rFonts w:hint="eastAsia" w:ascii="仿宋_GB2312" w:hAnsi="仿宋_GB2312" w:eastAsia="仿宋_GB2312" w:cs="仿宋_GB2312"/>
          <w:sz w:val="32"/>
          <w:szCs w:val="32"/>
        </w:rPr>
      </w:pPr>
    </w:p>
    <w:p w14:paraId="2457BEE1">
      <w:pPr>
        <w:pStyle w:val="2"/>
        <w:rPr>
          <w:rFonts w:hint="eastAsia" w:ascii="仿宋_GB2312" w:hAnsi="仿宋_GB2312" w:eastAsia="仿宋_GB2312" w:cs="仿宋_GB2312"/>
          <w:sz w:val="32"/>
          <w:szCs w:val="32"/>
        </w:rPr>
      </w:pPr>
    </w:p>
    <w:p w14:paraId="2C2BC08A">
      <w:pPr>
        <w:rPr>
          <w:rFonts w:hint="eastAsia" w:ascii="仿宋_GB2312" w:hAnsi="仿宋_GB2312" w:eastAsia="仿宋_GB2312" w:cs="仿宋_GB2312"/>
          <w:sz w:val="32"/>
          <w:szCs w:val="32"/>
        </w:rPr>
      </w:pPr>
    </w:p>
    <w:p w14:paraId="79114DF5">
      <w:pPr>
        <w:pStyle w:val="2"/>
        <w:rPr>
          <w:rFonts w:hint="eastAsia" w:ascii="仿宋_GB2312" w:hAnsi="仿宋_GB2312" w:eastAsia="仿宋_GB2312" w:cs="仿宋_GB2312"/>
          <w:sz w:val="32"/>
          <w:szCs w:val="32"/>
        </w:rPr>
      </w:pPr>
    </w:p>
    <w:p w14:paraId="6BE9591E">
      <w:pPr>
        <w:rPr>
          <w:rFonts w:hint="eastAsia" w:ascii="仿宋_GB2312" w:hAnsi="仿宋_GB2312" w:eastAsia="仿宋_GB2312" w:cs="仿宋_GB2312"/>
          <w:sz w:val="32"/>
          <w:szCs w:val="32"/>
        </w:rPr>
      </w:pPr>
    </w:p>
    <w:p w14:paraId="35731CCF">
      <w:pPr>
        <w:pStyle w:val="2"/>
        <w:rPr>
          <w:rFonts w:hint="eastAsia" w:ascii="仿宋_GB2312" w:hAnsi="仿宋_GB2312" w:eastAsia="仿宋_GB2312" w:cs="仿宋_GB2312"/>
          <w:sz w:val="32"/>
          <w:szCs w:val="32"/>
        </w:rPr>
      </w:pPr>
    </w:p>
    <w:p w14:paraId="47018B34">
      <w:pPr>
        <w:rPr>
          <w:rFonts w:hint="eastAsia" w:ascii="仿宋_GB2312" w:hAnsi="仿宋_GB2312" w:eastAsia="仿宋_GB2312" w:cs="仿宋_GB2312"/>
          <w:sz w:val="32"/>
          <w:szCs w:val="32"/>
        </w:rPr>
      </w:pPr>
    </w:p>
    <w:p w14:paraId="622C1251">
      <w:pPr>
        <w:pStyle w:val="2"/>
        <w:rPr>
          <w:rFonts w:hint="eastAsia"/>
        </w:rPr>
      </w:pPr>
    </w:p>
    <w:p w14:paraId="7E6CB556">
      <w:pPr>
        <w:rPr>
          <w:rFonts w:hint="eastAsia" w:ascii="仿宋_GB2312" w:hAnsi="仿宋_GB2312" w:eastAsia="仿宋_GB2312" w:cs="仿宋_GB2312"/>
          <w:sz w:val="32"/>
          <w:szCs w:val="32"/>
        </w:rPr>
      </w:pPr>
    </w:p>
    <w:p w14:paraId="7DFA1967">
      <w:pPr>
        <w:pStyle w:val="5"/>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532E605B">
      <w:pPr>
        <w:rPr>
          <w:rFonts w:hint="eastAsia"/>
          <w:color w:val="auto"/>
          <w:highlight w:val="none"/>
        </w:rPr>
      </w:pPr>
    </w:p>
    <w:p w14:paraId="7A736833">
      <w:pPr>
        <w:pStyle w:val="5"/>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501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4240DF8B">
            <w:pPr>
              <w:pStyle w:val="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783E120E">
            <w:pPr>
              <w:jc w:val="center"/>
              <w:rPr>
                <w:rFonts w:hint="eastAsia" w:ascii="宋体" w:hAnsi="宋体" w:eastAsia="宋体" w:cs="宋体"/>
                <w:color w:val="auto"/>
                <w:sz w:val="24"/>
                <w:highlight w:val="none"/>
              </w:rPr>
            </w:pPr>
          </w:p>
        </w:tc>
      </w:tr>
      <w:tr w14:paraId="7A0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D84C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57F0CCA2">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D62ED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1C01E0E1">
            <w:pPr>
              <w:jc w:val="center"/>
              <w:rPr>
                <w:rFonts w:hint="eastAsia" w:ascii="宋体" w:hAnsi="宋体" w:eastAsia="宋体" w:cs="宋体"/>
                <w:color w:val="auto"/>
                <w:sz w:val="24"/>
                <w:highlight w:val="none"/>
              </w:rPr>
            </w:pPr>
          </w:p>
        </w:tc>
      </w:tr>
      <w:tr w14:paraId="52C8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67E33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458CCE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2454608">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46925E7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F85C7AB">
            <w:pPr>
              <w:jc w:val="center"/>
              <w:rPr>
                <w:rFonts w:hint="eastAsia" w:ascii="宋体" w:hAnsi="宋体" w:eastAsia="宋体" w:cs="宋体"/>
                <w:color w:val="auto"/>
                <w:sz w:val="24"/>
                <w:highlight w:val="none"/>
              </w:rPr>
            </w:pPr>
          </w:p>
        </w:tc>
      </w:tr>
      <w:tr w14:paraId="1D3C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31842A5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3DEC22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36DD85C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EE7C8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2D7DECBE">
            <w:pPr>
              <w:jc w:val="center"/>
              <w:rPr>
                <w:rFonts w:hint="eastAsia" w:ascii="宋体" w:hAnsi="宋体" w:eastAsia="宋体" w:cs="宋体"/>
                <w:color w:val="auto"/>
                <w:sz w:val="24"/>
                <w:highlight w:val="none"/>
              </w:rPr>
            </w:pPr>
          </w:p>
        </w:tc>
      </w:tr>
      <w:tr w14:paraId="160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71973F0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371E4903">
            <w:pPr>
              <w:jc w:val="center"/>
              <w:rPr>
                <w:rFonts w:hint="eastAsia" w:ascii="宋体" w:hAnsi="宋体" w:eastAsia="宋体" w:cs="宋体"/>
                <w:color w:val="auto"/>
                <w:sz w:val="24"/>
                <w:highlight w:val="none"/>
              </w:rPr>
            </w:pPr>
          </w:p>
        </w:tc>
      </w:tr>
      <w:tr w14:paraId="156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DBADB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63EB4F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335FA1CC">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2860A5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65F2DEB">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B1053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674D2097">
            <w:pPr>
              <w:jc w:val="center"/>
              <w:rPr>
                <w:rFonts w:hint="eastAsia" w:ascii="宋体" w:hAnsi="宋体" w:eastAsia="宋体" w:cs="宋体"/>
                <w:color w:val="auto"/>
                <w:sz w:val="24"/>
                <w:highlight w:val="none"/>
              </w:rPr>
            </w:pPr>
          </w:p>
        </w:tc>
      </w:tr>
      <w:tr w14:paraId="01C9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D0186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5B331E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66B7A90F">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15EDD2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03BD937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393C32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42B1869F">
            <w:pPr>
              <w:jc w:val="center"/>
              <w:rPr>
                <w:rFonts w:hint="eastAsia" w:ascii="宋体" w:hAnsi="宋体" w:eastAsia="宋体" w:cs="宋体"/>
                <w:color w:val="auto"/>
                <w:sz w:val="24"/>
                <w:highlight w:val="none"/>
              </w:rPr>
            </w:pPr>
          </w:p>
        </w:tc>
      </w:tr>
      <w:tr w14:paraId="5E0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B70EF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4E8C8E2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C59EC55">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6D17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6DE7F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3505798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400C80B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10180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4CB45CE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3A8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73E09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6CC2BB2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0C2496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2A2D91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16CCF47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5ABD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26503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3703BE13">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BDC0E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E38F8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0919381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A5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70F67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96ACA9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25159141">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C84B2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6D1CDA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1EF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064650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A39B391">
            <w:pPr>
              <w:jc w:val="center"/>
              <w:rPr>
                <w:rFonts w:hint="eastAsia" w:ascii="宋体" w:hAnsi="宋体" w:eastAsia="宋体" w:cs="宋体"/>
                <w:color w:val="auto"/>
                <w:sz w:val="24"/>
                <w:highlight w:val="none"/>
              </w:rPr>
            </w:pPr>
          </w:p>
        </w:tc>
      </w:tr>
      <w:tr w14:paraId="385E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4F8EDA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FEEE130">
            <w:pPr>
              <w:jc w:val="center"/>
              <w:rPr>
                <w:rFonts w:hint="eastAsia" w:ascii="宋体" w:hAnsi="宋体" w:eastAsia="宋体" w:cs="宋体"/>
                <w:color w:val="auto"/>
                <w:sz w:val="24"/>
                <w:highlight w:val="none"/>
              </w:rPr>
            </w:pPr>
          </w:p>
        </w:tc>
      </w:tr>
    </w:tbl>
    <w:p w14:paraId="726303C0">
      <w:pPr>
        <w:pStyle w:val="5"/>
        <w:autoSpaceDE w:val="0"/>
        <w:spacing w:line="280" w:lineRule="exact"/>
        <w:rPr>
          <w:rFonts w:hint="eastAsia" w:ascii="宋体" w:hAnsi="宋体" w:eastAsia="宋体" w:cs="宋体"/>
          <w:b/>
          <w:bCs/>
          <w:color w:val="auto"/>
          <w:sz w:val="28"/>
          <w:szCs w:val="28"/>
          <w:highlight w:val="none"/>
          <w:lang w:val="en-US" w:eastAsia="zh-CN"/>
        </w:rPr>
      </w:pPr>
    </w:p>
    <w:p w14:paraId="44E451C5">
      <w:pPr>
        <w:pStyle w:val="5"/>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3E6F9B0D">
      <w:pPr>
        <w:pStyle w:val="5"/>
        <w:autoSpaceDE w:val="0"/>
        <w:spacing w:line="360" w:lineRule="auto"/>
        <w:rPr>
          <w:rFonts w:hint="eastAsia" w:ascii="宋体" w:hAnsi="宋体" w:eastAsia="宋体" w:cs="宋体"/>
          <w:b/>
          <w:bCs/>
          <w:color w:val="auto"/>
          <w:sz w:val="28"/>
          <w:szCs w:val="28"/>
          <w:highlight w:val="none"/>
        </w:rPr>
      </w:pPr>
    </w:p>
    <w:p w14:paraId="1355FB56">
      <w:pPr>
        <w:pStyle w:val="5"/>
        <w:autoSpaceDE w:val="0"/>
        <w:spacing w:line="360" w:lineRule="auto"/>
        <w:rPr>
          <w:rFonts w:hint="eastAsia" w:ascii="宋体" w:hAnsi="宋体" w:eastAsia="宋体" w:cs="宋体"/>
          <w:b/>
          <w:bCs/>
          <w:color w:val="auto"/>
          <w:sz w:val="28"/>
          <w:szCs w:val="28"/>
          <w:highlight w:val="none"/>
        </w:rPr>
      </w:pPr>
    </w:p>
    <w:p w14:paraId="277A679E">
      <w:pPr>
        <w:pStyle w:val="5"/>
        <w:autoSpaceDE w:val="0"/>
        <w:spacing w:line="360" w:lineRule="auto"/>
        <w:rPr>
          <w:rFonts w:hint="eastAsia" w:ascii="宋体" w:hAnsi="宋体" w:eastAsia="宋体" w:cs="宋体"/>
          <w:b/>
          <w:bCs/>
          <w:color w:val="auto"/>
          <w:sz w:val="28"/>
          <w:szCs w:val="28"/>
          <w:highlight w:val="none"/>
        </w:rPr>
      </w:pPr>
    </w:p>
    <w:p w14:paraId="5976DB37">
      <w:pPr>
        <w:pStyle w:val="5"/>
        <w:autoSpaceDE w:val="0"/>
        <w:spacing w:line="360" w:lineRule="auto"/>
        <w:rPr>
          <w:rFonts w:hint="eastAsia" w:ascii="宋体" w:hAnsi="宋体" w:eastAsia="宋体" w:cs="宋体"/>
          <w:b/>
          <w:bCs/>
          <w:color w:val="auto"/>
          <w:sz w:val="28"/>
          <w:szCs w:val="28"/>
          <w:highlight w:val="none"/>
        </w:rPr>
      </w:pPr>
    </w:p>
    <w:p w14:paraId="03433023">
      <w:pPr>
        <w:pStyle w:val="5"/>
        <w:autoSpaceDE w:val="0"/>
        <w:spacing w:line="360" w:lineRule="auto"/>
        <w:rPr>
          <w:rFonts w:hint="eastAsia" w:ascii="宋体" w:hAnsi="宋体" w:eastAsia="宋体" w:cs="宋体"/>
          <w:b/>
          <w:bCs/>
          <w:color w:val="auto"/>
          <w:sz w:val="28"/>
          <w:szCs w:val="28"/>
          <w:highlight w:val="none"/>
        </w:rPr>
      </w:pPr>
    </w:p>
    <w:p w14:paraId="69BE5C03">
      <w:pPr>
        <w:pStyle w:val="5"/>
        <w:autoSpaceDE w:val="0"/>
        <w:spacing w:line="360" w:lineRule="auto"/>
        <w:rPr>
          <w:rFonts w:hint="eastAsia" w:ascii="宋体" w:hAnsi="宋体" w:eastAsia="宋体" w:cs="宋体"/>
          <w:b/>
          <w:bCs/>
          <w:color w:val="auto"/>
          <w:sz w:val="28"/>
          <w:szCs w:val="28"/>
          <w:highlight w:val="none"/>
        </w:rPr>
      </w:pPr>
    </w:p>
    <w:p w14:paraId="315F4678">
      <w:pPr>
        <w:pStyle w:val="5"/>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2C31E037">
      <w:pPr>
        <w:pStyle w:val="9"/>
        <w:ind w:firstLine="440"/>
        <w:rPr>
          <w:rFonts w:hint="eastAsia" w:ascii="宋体" w:hAnsi="宋体" w:eastAsia="宋体" w:cs="宋体"/>
          <w:color w:val="auto"/>
          <w:highlight w:val="none"/>
        </w:rPr>
      </w:pPr>
    </w:p>
    <w:p w14:paraId="1523B06C">
      <w:pPr>
        <w:pStyle w:val="5"/>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16297375">
      <w:pPr>
        <w:pStyle w:val="5"/>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1AC7FE5F">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1.在投标截止时间前，未被最高人民法院在“中国执行信息公开网”网站（http://zxgk.court.gov.cn）列为失信被执行人（可提供“中国执行信息公开网”－“失信被执行人”查询截图，无失信被执行人惩戒信息）； </w:t>
      </w:r>
    </w:p>
    <w:p w14:paraId="27690B63">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2.在投标截止时间前，未被国家市场监督管理部门在国家企业信用信息公示系统（www.gsxt.gov.cn）中列入严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4CE424FC">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投标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0E182CCF">
      <w:pPr>
        <w:pStyle w:val="2"/>
        <w:rPr>
          <w:rFonts w:hint="eastAsia" w:ascii="宋体" w:hAnsi="宋体" w:eastAsia="宋体" w:cs="宋体"/>
          <w:color w:val="auto"/>
          <w:sz w:val="28"/>
          <w:szCs w:val="28"/>
          <w:highlight w:val="none"/>
          <w:lang w:val="en-US" w:eastAsia="zh-CN"/>
        </w:rPr>
      </w:pPr>
    </w:p>
    <w:p w14:paraId="0CE0FB67">
      <w:pPr>
        <w:rPr>
          <w:rFonts w:hint="eastAsia"/>
        </w:rPr>
      </w:pPr>
    </w:p>
    <w:p w14:paraId="18A7F49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2B0B6B4D">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4D24EF3D">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621FA162">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321D5BE">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3E6E3DAF">
      <w:pPr>
        <w:pStyle w:val="5"/>
        <w:autoSpaceDE w:val="0"/>
        <w:spacing w:line="360" w:lineRule="auto"/>
        <w:jc w:val="right"/>
        <w:rPr>
          <w:rFonts w:hint="eastAsia" w:ascii="宋体" w:hAnsi="宋体" w:eastAsia="宋体" w:cs="宋体"/>
          <w:b/>
          <w:bCs/>
          <w:color w:val="auto"/>
          <w:sz w:val="28"/>
          <w:szCs w:val="28"/>
          <w:highlight w:val="none"/>
        </w:rPr>
      </w:pPr>
    </w:p>
    <w:p w14:paraId="74FF30CC">
      <w:pPr>
        <w:pStyle w:val="5"/>
        <w:autoSpaceDE w:val="0"/>
        <w:spacing w:line="360" w:lineRule="auto"/>
        <w:jc w:val="right"/>
        <w:rPr>
          <w:rFonts w:hint="eastAsia" w:ascii="宋体" w:hAnsi="宋体" w:eastAsia="宋体" w:cs="宋体"/>
          <w:b/>
          <w:bCs/>
          <w:color w:val="auto"/>
          <w:sz w:val="28"/>
          <w:szCs w:val="28"/>
          <w:highlight w:val="none"/>
        </w:rPr>
      </w:pPr>
    </w:p>
    <w:p w14:paraId="0895B6FC">
      <w:pPr>
        <w:pStyle w:val="5"/>
        <w:autoSpaceDE w:val="0"/>
        <w:spacing w:line="360" w:lineRule="auto"/>
        <w:rPr>
          <w:rFonts w:hint="eastAsia" w:ascii="宋体" w:hAnsi="宋体" w:eastAsia="宋体" w:cs="宋体"/>
          <w:b/>
          <w:bCs/>
          <w:color w:val="auto"/>
          <w:sz w:val="28"/>
          <w:szCs w:val="28"/>
          <w:highlight w:val="none"/>
        </w:rPr>
      </w:pPr>
    </w:p>
    <w:p w14:paraId="7D07456B">
      <w:pPr>
        <w:pStyle w:val="5"/>
        <w:autoSpaceDE w:val="0"/>
        <w:spacing w:line="360" w:lineRule="auto"/>
        <w:rPr>
          <w:rFonts w:hint="eastAsia" w:ascii="宋体" w:hAnsi="宋体" w:eastAsia="宋体" w:cs="宋体"/>
          <w:b/>
          <w:bCs/>
          <w:color w:val="auto"/>
          <w:sz w:val="28"/>
          <w:szCs w:val="28"/>
          <w:highlight w:val="none"/>
        </w:rPr>
      </w:pPr>
    </w:p>
    <w:p w14:paraId="7BE1A423">
      <w:pPr>
        <w:pStyle w:val="5"/>
        <w:autoSpaceDE w:val="0"/>
        <w:spacing w:line="360" w:lineRule="auto"/>
        <w:rPr>
          <w:rFonts w:hint="eastAsia" w:ascii="宋体" w:hAnsi="宋体" w:eastAsia="宋体" w:cs="宋体"/>
          <w:b/>
          <w:bCs/>
          <w:color w:val="auto"/>
          <w:sz w:val="28"/>
          <w:szCs w:val="28"/>
          <w:highlight w:val="none"/>
        </w:rPr>
      </w:pPr>
    </w:p>
    <w:p w14:paraId="25A8B414">
      <w:pPr>
        <w:pStyle w:val="5"/>
        <w:autoSpaceDE w:val="0"/>
        <w:spacing w:line="360" w:lineRule="auto"/>
        <w:rPr>
          <w:rFonts w:hint="eastAsia" w:ascii="宋体" w:hAnsi="宋体" w:eastAsia="宋体" w:cs="宋体"/>
          <w:b/>
          <w:bCs/>
          <w:color w:val="auto"/>
          <w:sz w:val="28"/>
          <w:szCs w:val="28"/>
          <w:highlight w:val="none"/>
        </w:rPr>
      </w:pPr>
    </w:p>
    <w:p w14:paraId="3CB6B3FE">
      <w:pPr>
        <w:pStyle w:val="5"/>
        <w:autoSpaceDE w:val="0"/>
        <w:spacing w:line="360" w:lineRule="auto"/>
        <w:rPr>
          <w:rFonts w:hint="eastAsia" w:ascii="宋体" w:hAnsi="宋体" w:eastAsia="宋体" w:cs="宋体"/>
          <w:b/>
          <w:bCs/>
          <w:color w:val="auto"/>
          <w:sz w:val="28"/>
          <w:szCs w:val="28"/>
          <w:highlight w:val="none"/>
        </w:rPr>
      </w:pPr>
    </w:p>
    <w:p w14:paraId="71849CC1">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11EDE5D6">
      <w:pPr>
        <w:spacing w:line="400" w:lineRule="exact"/>
        <w:rPr>
          <w:rFonts w:hint="eastAsia" w:ascii="宋体" w:hAnsi="宋体" w:eastAsia="宋体" w:cs="宋体"/>
          <w:b/>
          <w:color w:val="auto"/>
          <w:sz w:val="28"/>
          <w:szCs w:val="28"/>
          <w:highlight w:val="none"/>
        </w:rPr>
      </w:pPr>
    </w:p>
    <w:p w14:paraId="25E6CE20">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2D46EED6">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0BD18E5E">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1750AC0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EEB3CFE">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1A4B5CA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796ED6A5">
      <w:pPr>
        <w:pStyle w:val="3"/>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10023964">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2B57A0D3">
      <w:pPr>
        <w:spacing w:line="360" w:lineRule="auto"/>
        <w:jc w:val="right"/>
        <w:rPr>
          <w:rFonts w:hint="eastAsia" w:ascii="宋体" w:hAnsi="宋体" w:eastAsia="宋体" w:cs="宋体"/>
          <w:color w:val="auto"/>
          <w:sz w:val="28"/>
          <w:szCs w:val="28"/>
          <w:highlight w:val="none"/>
        </w:rPr>
      </w:pPr>
    </w:p>
    <w:p w14:paraId="6FE21C3E">
      <w:pPr>
        <w:spacing w:line="460" w:lineRule="exact"/>
        <w:ind w:firstLine="2249" w:firstLineChars="800"/>
        <w:jc w:val="right"/>
        <w:rPr>
          <w:rFonts w:hint="eastAsia" w:ascii="宋体" w:hAnsi="宋体" w:eastAsia="宋体" w:cs="宋体"/>
          <w:b/>
          <w:color w:val="auto"/>
          <w:kern w:val="0"/>
          <w:sz w:val="28"/>
          <w:szCs w:val="28"/>
          <w:highlight w:val="none"/>
        </w:rPr>
      </w:pPr>
    </w:p>
    <w:p w14:paraId="717BD772">
      <w:pPr>
        <w:spacing w:line="460" w:lineRule="exact"/>
        <w:ind w:firstLine="2249" w:firstLineChars="800"/>
        <w:rPr>
          <w:rFonts w:hint="eastAsia" w:ascii="宋体" w:hAnsi="宋体" w:eastAsia="宋体" w:cs="宋体"/>
          <w:b/>
          <w:color w:val="auto"/>
          <w:kern w:val="0"/>
          <w:sz w:val="28"/>
          <w:szCs w:val="28"/>
          <w:highlight w:val="none"/>
        </w:rPr>
      </w:pPr>
    </w:p>
    <w:p w14:paraId="33F5BAA1">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17E94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2E073C9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6309F6C7">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502889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53FBDA3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538AC430">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4D3A0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5E0CE3E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3EA3B4F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26F8C2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79CCAC8">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244C1C1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F7D0F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0AA351B8">
      <w:pPr>
        <w:pStyle w:val="2"/>
        <w:rPr>
          <w:rFonts w:hint="eastAsia" w:ascii="宋体" w:hAnsi="宋体" w:eastAsia="宋体" w:cs="宋体"/>
          <w:color w:val="auto"/>
          <w:sz w:val="28"/>
          <w:szCs w:val="28"/>
          <w:highlight w:val="none"/>
        </w:rPr>
      </w:pPr>
    </w:p>
    <w:p w14:paraId="4F16433B">
      <w:pPr>
        <w:rPr>
          <w:rFonts w:hint="eastAsia" w:ascii="宋体" w:hAnsi="宋体" w:eastAsia="宋体" w:cs="宋体"/>
          <w:color w:val="auto"/>
          <w:sz w:val="28"/>
          <w:szCs w:val="28"/>
          <w:highlight w:val="none"/>
        </w:rPr>
      </w:pPr>
    </w:p>
    <w:p w14:paraId="31D7D05E">
      <w:pPr>
        <w:pStyle w:val="2"/>
        <w:rPr>
          <w:rFonts w:hint="eastAsia" w:ascii="宋体" w:hAnsi="宋体" w:eastAsia="宋体" w:cs="宋体"/>
          <w:color w:val="auto"/>
          <w:sz w:val="28"/>
          <w:szCs w:val="28"/>
          <w:highlight w:val="none"/>
        </w:rPr>
      </w:pPr>
    </w:p>
    <w:p w14:paraId="4FD701B3">
      <w:pPr>
        <w:rPr>
          <w:rFonts w:hint="eastAsia" w:ascii="宋体" w:hAnsi="宋体" w:eastAsia="宋体" w:cs="宋体"/>
          <w:color w:val="auto"/>
          <w:sz w:val="28"/>
          <w:szCs w:val="28"/>
          <w:highlight w:val="none"/>
        </w:rPr>
      </w:pPr>
    </w:p>
    <w:p w14:paraId="4CC223A7">
      <w:pPr>
        <w:pStyle w:val="2"/>
        <w:rPr>
          <w:rFonts w:hint="eastAsia" w:ascii="宋体" w:hAnsi="宋体" w:eastAsia="宋体" w:cs="宋体"/>
          <w:color w:val="auto"/>
          <w:sz w:val="28"/>
          <w:szCs w:val="28"/>
          <w:highlight w:val="none"/>
        </w:rPr>
      </w:pPr>
    </w:p>
    <w:p w14:paraId="7E04F4C1">
      <w:pPr>
        <w:rPr>
          <w:rFonts w:hint="eastAsia" w:ascii="宋体" w:hAnsi="宋体" w:eastAsia="宋体" w:cs="宋体"/>
          <w:color w:val="auto"/>
          <w:sz w:val="28"/>
          <w:szCs w:val="28"/>
          <w:highlight w:val="none"/>
        </w:rPr>
      </w:pPr>
    </w:p>
    <w:p w14:paraId="69285475">
      <w:pPr>
        <w:pStyle w:val="2"/>
        <w:rPr>
          <w:rFonts w:hint="eastAsia" w:ascii="宋体" w:hAnsi="宋体" w:eastAsia="宋体" w:cs="宋体"/>
          <w:color w:val="auto"/>
          <w:sz w:val="28"/>
          <w:szCs w:val="28"/>
          <w:highlight w:val="none"/>
        </w:rPr>
      </w:pPr>
    </w:p>
    <w:p w14:paraId="0CC0374B">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73290DEE">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10"/>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04D87A9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0616449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4054F32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7826DB4E">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498578C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6E94A86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2288583B">
            <w:pPr>
              <w:pStyle w:val="9"/>
              <w:ind w:left="0" w:leftChars="0" w:firstLine="0" w:firstLineChars="0"/>
              <w:jc w:val="center"/>
              <w:rPr>
                <w:rFonts w:hint="default"/>
                <w:lang w:val="en-US"/>
              </w:rPr>
            </w:pPr>
            <w:r>
              <w:rPr>
                <w:rFonts w:hint="eastAsia" w:ascii="宋体" w:hAnsi="宋体" w:cs="宋体"/>
                <w:b/>
                <w:color w:val="auto"/>
                <w:sz w:val="24"/>
                <w:highlight w:val="none"/>
                <w:lang w:val="en-US" w:eastAsia="zh-CN"/>
              </w:rPr>
              <w:t>竞选报价：        %</w:t>
            </w:r>
          </w:p>
        </w:tc>
      </w:tr>
      <w:tr w14:paraId="32EFB593">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7B642A8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CB069A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32A8B368">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38AA21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1E7DD9F4">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67C5F6DF">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11940A92">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zh-CN" w:bidi="ar"/>
        </w:rPr>
        <w:t xml:space="preserve">供应商公章：         </w:t>
      </w:r>
    </w:p>
    <w:p w14:paraId="3EA373E4">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069531FB">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11E23D4D">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r>
        <w:rPr>
          <w:color w:val="auto"/>
          <w:sz w:val="24"/>
          <w:szCs w:val="24"/>
          <w:highlight w:val="none"/>
        </w:rPr>
        <w:t xml:space="preserve"> </w:t>
      </w:r>
    </w:p>
    <w:p w14:paraId="0E044F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35331"/>
    <w:rsid w:val="07EC31DF"/>
    <w:rsid w:val="15324815"/>
    <w:rsid w:val="26D07ABD"/>
    <w:rsid w:val="383D3018"/>
    <w:rsid w:val="3AB83B1B"/>
    <w:rsid w:val="41CE056D"/>
    <w:rsid w:val="64CA0F84"/>
    <w:rsid w:val="69A07F6F"/>
    <w:rsid w:val="7B135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styleId="3">
    <w:name w:val="Normal Indent"/>
    <w:basedOn w:val="1"/>
    <w:qFormat/>
    <w:uiPriority w:val="0"/>
    <w:pPr>
      <w:ind w:firstLine="420"/>
      <w:jc w:val="left"/>
    </w:pPr>
    <w:rPr>
      <w:rFonts w:ascii="Calibri" w:hAnsi="Calibri" w:eastAsia="Calibri" w:cs="Times New Roman"/>
      <w:kern w:val="0"/>
      <w:sz w:val="20"/>
      <w:szCs w:val="20"/>
    </w:rPr>
  </w:style>
  <w:style w:type="paragraph" w:styleId="4">
    <w:name w:val="annotation text"/>
    <w:basedOn w:val="1"/>
    <w:qFormat/>
    <w:uiPriority w:val="0"/>
    <w:pPr>
      <w:jc w:val="left"/>
    </w:pPr>
  </w:style>
  <w:style w:type="paragraph" w:styleId="5">
    <w:name w:val="Body Text"/>
    <w:basedOn w:val="1"/>
    <w:qFormat/>
    <w:uiPriority w:val="0"/>
    <w:pPr>
      <w:spacing w:after="120"/>
      <w:jc w:val="left"/>
    </w:pPr>
    <w:rPr>
      <w:rFonts w:ascii="Calibri" w:hAnsi="Calibri" w:eastAsia="Calibri" w:cs="Times New Roman"/>
      <w:kern w:val="0"/>
      <w:sz w:val="22"/>
      <w:szCs w:val="22"/>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Body Text First Indent"/>
    <w:basedOn w:val="5"/>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9">
    <w:name w:val="Body Text First Indent 2"/>
    <w:basedOn w:val="6"/>
    <w:next w:val="8"/>
    <w:qFormat/>
    <w:uiPriority w:val="0"/>
    <w:pPr>
      <w:ind w:firstLine="420" w:firstLineChars="200"/>
      <w:jc w:val="left"/>
    </w:pPr>
    <w:rPr>
      <w:rFonts w:ascii="Calibri" w:hAnsi="Calibri" w:eastAsia="Calibri" w:cs="Times New Roman"/>
      <w:kern w:val="0"/>
      <w:sz w:val="22"/>
      <w:szCs w:val="22"/>
    </w:rPr>
  </w:style>
  <w:style w:type="table" w:styleId="11">
    <w:name w:val="Table Grid"/>
    <w:basedOn w:val="10"/>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0"/>
    <w:pPr>
      <w:jc w:val="left"/>
    </w:pPr>
    <w:rPr>
      <w:rFonts w:ascii="Calibri" w:hAnsi="Calibri" w:eastAsia="Calibri" w:cs="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2526</Words>
  <Characters>2708</Characters>
  <Lines>0</Lines>
  <Paragraphs>0</Paragraphs>
  <TotalTime>1879</TotalTime>
  <ScaleCrop>false</ScaleCrop>
  <LinksUpToDate>false</LinksUpToDate>
  <CharactersWithSpaces>2756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2026-06-08T03:28:00Z</dcterms:created>
  <dc:creator>Mr. Blue</dc:creator>
  <cp:lastModifiedBy>陈曦</cp:lastModifiedBy>
  <cp:lastPrinted>2026-06-11T10:50:00Z</cp:lastPrinted>
  <dcterms:modified xsi:type="dcterms:W3CDTF">2026-06-16T10:21:02Z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399A7EB512A34E36B01711E3E62CF92B_11</vt:lpwstr>
  </property>
  <property fmtid="{D5CDD505-2E9C-101B-9397-08002B2CF9AE}" pid="4" name="KSOTemplateDocerSaveRecord">
    <vt:lpwstr>eyJoZGlkIjoiNzQyMmRmOWE3YWVlOTFhZTA1ZGVkMjQ4OTM2NjI5ZGIiLCJ1c2VySWQiOiIxNjQ5MjQ2MTAwIn0=</vt:lpwstr>
  </property>
</Properties>
</file>